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35" w:rsidRDefault="00FD7235" w:rsidP="00FD7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FD7235" w:rsidRDefault="00FD7235" w:rsidP="00FD7235">
      <w:pPr>
        <w:widowControl w:val="0"/>
        <w:autoSpaceDE w:val="0"/>
        <w:autoSpaceDN w:val="0"/>
        <w:adjustRightInd w:val="0"/>
        <w:spacing w:after="0" w:line="240" w:lineRule="auto"/>
        <w:jc w:val="center"/>
        <w:rPr>
          <w:rFonts w:ascii="Calibri" w:hAnsi="Calibri" w:cs="Calibri"/>
          <w:b/>
          <w:bCs/>
        </w:rPr>
      </w:pPr>
    </w:p>
    <w:p w:rsidR="00FD7235" w:rsidRDefault="00FD7235" w:rsidP="00FD7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FD7235" w:rsidRDefault="00FD7235" w:rsidP="00FD7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марта 2013 г. N 18-2/10/2-1490</w:t>
      </w:r>
    </w:p>
    <w:p w:rsidR="00FD7235" w:rsidRDefault="00FD7235" w:rsidP="00FD7235">
      <w:pPr>
        <w:widowControl w:val="0"/>
        <w:autoSpaceDE w:val="0"/>
        <w:autoSpaceDN w:val="0"/>
        <w:adjustRightInd w:val="0"/>
        <w:spacing w:after="0" w:line="240" w:lineRule="auto"/>
        <w:jc w:val="center"/>
        <w:rPr>
          <w:rFonts w:ascii="Calibri" w:hAnsi="Calibri" w:cs="Calibri"/>
          <w:b/>
          <w:bCs/>
        </w:rPr>
      </w:pPr>
    </w:p>
    <w:p w:rsidR="00FD7235" w:rsidRDefault="00FD7235" w:rsidP="00FD7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КОМПЛЕКС МЕР,</w:t>
      </w:r>
    </w:p>
    <w:p w:rsidR="00FD7235" w:rsidRDefault="00FD7235" w:rsidP="00FD7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НАПРАВЛЕННЫХ НА ПРИВЛЕЧЕНИЕ ГОСУДАРСТВЕННЫХ И МУНИЦИПАЛЬНЫХ</w:t>
      </w:r>
    </w:p>
    <w:p w:rsidR="00FD7235" w:rsidRDefault="00FD7235" w:rsidP="00FD72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СЛУЖАЩИХ К ПРОТИВОДЕЙСТВИЮ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outlineLvl w:val="0"/>
        <w:rPr>
          <w:rFonts w:ascii="Calibri" w:hAnsi="Calibri" w:cs="Calibri"/>
        </w:rPr>
      </w:pPr>
      <w:bookmarkStart w:id="0" w:name="Par10"/>
      <w:bookmarkEnd w:id="0"/>
      <w:r>
        <w:rPr>
          <w:rFonts w:ascii="Calibri" w:hAnsi="Calibri" w:cs="Calibri"/>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rPr>
          <w:rFonts w:ascii="Calibri" w:hAnsi="Calibri" w:cs="Calibri"/>
        </w:rPr>
        <w:t>правоприменителя</w:t>
      </w:r>
      <w:proofErr w:type="spellEnd"/>
      <w:r>
        <w:rPr>
          <w:rFonts w:ascii="Calibri" w:hAnsi="Calibri" w:cs="Calibri"/>
        </w:rPr>
        <w:t xml:space="preserve"> и может различаться.</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стимулирования активности в данной деятельности в </w:t>
      </w:r>
      <w:hyperlink r:id="rId5" w:history="1">
        <w:r>
          <w:rPr>
            <w:rFonts w:ascii="Calibri" w:hAnsi="Calibri" w:cs="Calibri"/>
            <w:color w:val="0000FF"/>
          </w:rPr>
          <w:t>Национальном плане</w:t>
        </w:r>
      </w:hyperlink>
      <w:r>
        <w:rPr>
          <w:rFonts w:ascii="Calibri" w:hAnsi="Calibri" w:cs="Calibri"/>
        </w:rPr>
        <w:t xml:space="preserve"> противодействия коррупции на 2012 - 2013 годы, утвержденном Указом Президента Российской Федерации от 13 марта 2012 г. N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остальных федеральных государственных органов планируется с учетом положений </w:t>
      </w:r>
      <w:hyperlink r:id="rId6" w:history="1">
        <w:r>
          <w:rPr>
            <w:rFonts w:ascii="Calibri" w:hAnsi="Calibri" w:cs="Calibri"/>
            <w:color w:val="0000FF"/>
          </w:rPr>
          <w:t>Национальной стратегии</w:t>
        </w:r>
      </w:hyperlink>
      <w:r>
        <w:rPr>
          <w:rFonts w:ascii="Calibri" w:hAnsi="Calibri" w:cs="Calibri"/>
        </w:rPr>
        <w:t xml:space="preserve"> противодействия коррупции, утвержденной Указом Президента Российской Федерации от 13 апреля 2010 г. N 460, и </w:t>
      </w:r>
      <w:hyperlink r:id="rId7" w:history="1">
        <w:r>
          <w:rPr>
            <w:rFonts w:ascii="Calibri" w:hAnsi="Calibri" w:cs="Calibri"/>
            <w:color w:val="0000FF"/>
          </w:rPr>
          <w:t>Национального плана</w:t>
        </w:r>
      </w:hyperlink>
      <w:r>
        <w:rPr>
          <w:rFonts w:ascii="Calibri" w:hAnsi="Calibri" w:cs="Calibri"/>
        </w:rPr>
        <w:t xml:space="preserve"> противодействия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w:t>
      </w:r>
      <w:r>
        <w:rPr>
          <w:rFonts w:ascii="Calibri" w:hAnsi="Calibri" w:cs="Calibri"/>
        </w:rPr>
        <w:lastRenderedPageBreak/>
        <w:t>организации данной деятельности.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культуры антикоррупционного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II. Описание мер, направленных на привлечение государственных и муниципальных служащих к противодействию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w:t>
      </w:r>
      <w:r>
        <w:rPr>
          <w:rFonts w:ascii="Calibri" w:hAnsi="Calibri" w:cs="Calibri"/>
        </w:rPr>
        <w:lastRenderedPageBreak/>
        <w:t>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8</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w:t>
      </w:r>
      <w:proofErr w:type="gramEnd"/>
      <w:r>
        <w:rPr>
          <w:rFonts w:ascii="Calibri" w:hAnsi="Calibri" w:cs="Calibri"/>
        </w:rPr>
        <w:t xml:space="preserve">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наставничества над лицами, впервые поступающими на государственную (муниципальную) службу;</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подготовке типовых ситуаций конфликта интересов и иных методических материалов по профилактике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социологических опросах, направленных на оценку восприятия антикоррупционных мер и </w:t>
      </w:r>
      <w:r>
        <w:rPr>
          <w:rFonts w:ascii="Calibri" w:hAnsi="Calibri" w:cs="Calibri"/>
        </w:rPr>
        <w:lastRenderedPageBreak/>
        <w:t>их эффективности;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мероприятиях такого рода.</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w:t>
      </w:r>
      <w:hyperlink r:id="rId9" w:history="1">
        <w:r>
          <w:rPr>
            <w:rFonts w:ascii="Calibri" w:hAnsi="Calibri" w:cs="Calibri"/>
            <w:color w:val="0000FF"/>
          </w:rPr>
          <w:t>пунктами 6</w:t>
        </w:r>
      </w:hyperlink>
      <w:r>
        <w:rPr>
          <w:rFonts w:ascii="Calibri" w:hAnsi="Calibri" w:cs="Calibri"/>
        </w:rPr>
        <w:t xml:space="preserve"> и </w:t>
      </w:r>
      <w:hyperlink r:id="rId10" w:history="1">
        <w:r>
          <w:rPr>
            <w:rFonts w:ascii="Calibri" w:hAnsi="Calibri" w:cs="Calibri"/>
            <w:color w:val="0000FF"/>
          </w:rPr>
          <w:t>12</w:t>
        </w:r>
      </w:hyperlink>
      <w:r>
        <w:rPr>
          <w:rFonts w:ascii="Calibri" w:hAnsi="Calibri" w:cs="Calibri"/>
        </w:rPr>
        <w:t xml:space="preserve">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outlineLvl w:val="1"/>
        <w:rPr>
          <w:rFonts w:ascii="Calibri" w:hAnsi="Calibri" w:cs="Calibri"/>
        </w:rPr>
      </w:pPr>
      <w:bookmarkStart w:id="5" w:name="Par59"/>
      <w:bookmarkEnd w:id="5"/>
      <w:r>
        <w:rPr>
          <w:rFonts w:ascii="Calibri" w:hAnsi="Calibri" w:cs="Calibri"/>
        </w:rPr>
        <w:t>4.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уголовная ответственность за дачу и получение взятки;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урегулирование конфликта интересов;</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замеченных фактах коррупции и т.д.</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Чтобы способствовать самостоятельному изучению гражданами, претендующими на </w:t>
      </w:r>
      <w:r>
        <w:rPr>
          <w:rFonts w:ascii="Calibri" w:hAnsi="Calibri" w:cs="Calibri"/>
        </w:rPr>
        <w:lastRenderedPageBreak/>
        <w:t xml:space="preserve">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w:t>
      </w:r>
      <w:proofErr w:type="gramStart"/>
      <w:r>
        <w:rPr>
          <w:rFonts w:ascii="Calibri" w:hAnsi="Calibri" w:cs="Calibri"/>
        </w:rPr>
        <w:t>положений</w:t>
      </w:r>
      <w:proofErr w:type="gramEnd"/>
      <w:r>
        <w:rPr>
          <w:rFonts w:ascii="Calibri" w:hAnsi="Calibri" w:cs="Calibri"/>
        </w:rPr>
        <w:t xml:space="preserve"> соответствующих нормативных правовых актов.</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Беседа с государственными (муниципальными) служащими, увольняющимися с государственной (муниципальной) службы, чьи должности входили в перечень, установленный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21 июля 2010 г. N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дополнительных инструментов реализации отдельных мероприятий, предусмотренных настоящим комплексом мер, может 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w:t>
      </w:r>
      <w:proofErr w:type="spellStart"/>
      <w:r>
        <w:rPr>
          <w:rFonts w:ascii="Calibri" w:hAnsi="Calibri" w:cs="Calibri"/>
        </w:rPr>
        <w:t>лайн</w:t>
      </w:r>
      <w:proofErr w:type="spellEnd"/>
      <w:r>
        <w:rPr>
          <w:rFonts w:ascii="Calibri" w:hAnsi="Calibri" w:cs="Calibri"/>
        </w:rP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w:t>
      </w:r>
      <w:proofErr w:type="spellStart"/>
      <w:r>
        <w:rPr>
          <w:rFonts w:ascii="Calibri" w:hAnsi="Calibri" w:cs="Calibri"/>
        </w:rPr>
        <w:t>лайн</w:t>
      </w:r>
      <w:proofErr w:type="spellEnd"/>
      <w:r>
        <w:rPr>
          <w:rFonts w:ascii="Calibri" w:hAnsi="Calibri" w:cs="Calibri"/>
        </w:rPr>
        <w:t xml:space="preserve">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w:t>
      </w:r>
      <w:r>
        <w:rPr>
          <w:rFonts w:ascii="Calibri" w:hAnsi="Calibri" w:cs="Calibri"/>
        </w:rPr>
        <w:lastRenderedPageBreak/>
        <w:t>(муниципальными)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outlineLvl w:val="0"/>
        <w:rPr>
          <w:rFonts w:ascii="Calibri" w:hAnsi="Calibri" w:cs="Calibri"/>
        </w:rPr>
      </w:pPr>
      <w:bookmarkStart w:id="6" w:name="Par77"/>
      <w:bookmarkEnd w:id="6"/>
      <w:r>
        <w:rPr>
          <w:rFonts w:ascii="Calibri" w:hAnsi="Calibri" w:cs="Calibri"/>
        </w:rPr>
        <w:t>III. Перечень мер, направленных на привлечение государственных и муниципальных служащих к противодействию коррупции</w:t>
      </w:r>
    </w:p>
    <w:p w:rsidR="00FD7235" w:rsidRDefault="00FD7235" w:rsidP="00FD7235">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812"/>
        <w:gridCol w:w="8004"/>
      </w:tblGrid>
      <w:tr w:rsidR="00FD7235" w:rsidTr="00F24F68">
        <w:trPr>
          <w:trHeight w:val="600"/>
          <w:tblCellSpacing w:w="5" w:type="nil"/>
        </w:trPr>
        <w:tc>
          <w:tcPr>
            <w:tcW w:w="8816" w:type="dxa"/>
            <w:gridSpan w:val="2"/>
            <w:tcBorders>
              <w:top w:val="single" w:sz="8" w:space="0" w:color="auto"/>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outlineLvl w:val="1"/>
              <w:rPr>
                <w:rFonts w:ascii="Courier New" w:hAnsi="Courier New" w:cs="Courier New"/>
                <w:sz w:val="20"/>
                <w:szCs w:val="20"/>
              </w:rPr>
            </w:pPr>
            <w:bookmarkStart w:id="7" w:name="Par80"/>
            <w:bookmarkEnd w:id="7"/>
            <w:r>
              <w:rPr>
                <w:rFonts w:ascii="Courier New" w:hAnsi="Courier New" w:cs="Courier New"/>
                <w:sz w:val="20"/>
                <w:szCs w:val="20"/>
              </w:rPr>
              <w:t xml:space="preserve">I. Привлечение государственных и муниципальных служащих к участию в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обсуждении и разработке нормативных правовых актов по вопросам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противодействия коррупции                                                </w:t>
            </w:r>
          </w:p>
        </w:tc>
      </w:tr>
      <w:tr w:rsidR="00FD7235" w:rsidTr="00F24F68">
        <w:trPr>
          <w:trHeight w:val="16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Информирование государственных муниципальных служащих о возможности</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в подготовке проектов актов по вопросам противодействия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коррупции и проведение при необходимости рабочих встреч (серии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встреч), заседаний коллегий, соответствующих комиссий, офицерских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собраний с участием представителей структурных подразделений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органов в целях организации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обсуждения полученных предложений государственных (муниципальных)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по проектам </w:t>
            </w:r>
            <w:proofErr w:type="gramStart"/>
            <w:r>
              <w:rPr>
                <w:rFonts w:ascii="Courier New" w:hAnsi="Courier New" w:cs="Courier New"/>
                <w:sz w:val="20"/>
                <w:szCs w:val="20"/>
              </w:rPr>
              <w:t xml:space="preserve">актов.   </w:t>
            </w:r>
            <w:proofErr w:type="gramEnd"/>
            <w:r>
              <w:rPr>
                <w:rFonts w:ascii="Courier New" w:hAnsi="Courier New" w:cs="Courier New"/>
                <w:sz w:val="20"/>
                <w:szCs w:val="20"/>
              </w:rPr>
              <w:t xml:space="preserve">                                     </w:t>
            </w:r>
          </w:p>
        </w:tc>
      </w:tr>
      <w:tr w:rsidR="00FD7235" w:rsidTr="00F24F68">
        <w:trPr>
          <w:trHeight w:val="8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не реже одного раза в год обсуждений практики применения</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законодательства с государственными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(муниципальными) служащими органа государственной власти и местного</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самоуправления.   </w:t>
            </w:r>
            <w:proofErr w:type="gramEnd"/>
            <w:r>
              <w:rPr>
                <w:rFonts w:ascii="Courier New" w:hAnsi="Courier New" w:cs="Courier New"/>
                <w:sz w:val="20"/>
                <w:szCs w:val="20"/>
              </w:rPr>
              <w:t xml:space="preserve">                                                 </w:t>
            </w:r>
          </w:p>
        </w:tc>
      </w:tr>
      <w:tr w:rsidR="00FD7235" w:rsidTr="00F24F68">
        <w:trPr>
          <w:trHeight w:val="12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Уведомление государственных (муниципальных) служащих органа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о возможности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принять участие в публичном обсуждении проектов нормативных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правовых актов по антикоррупционной тематике с использованием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предусмотренных действующим законодательством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w:t>
            </w:r>
          </w:p>
        </w:tc>
      </w:tr>
      <w:tr w:rsidR="00FD7235" w:rsidTr="00F24F68">
        <w:trPr>
          <w:trHeight w:val="800"/>
          <w:tblCellSpacing w:w="5" w:type="nil"/>
        </w:trPr>
        <w:tc>
          <w:tcPr>
            <w:tcW w:w="8816" w:type="dxa"/>
            <w:gridSpan w:val="2"/>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outlineLvl w:val="1"/>
              <w:rPr>
                <w:rFonts w:ascii="Courier New" w:hAnsi="Courier New" w:cs="Courier New"/>
                <w:sz w:val="20"/>
                <w:szCs w:val="20"/>
              </w:rPr>
            </w:pPr>
            <w:bookmarkStart w:id="8" w:name="Par105"/>
            <w:bookmarkEnd w:id="8"/>
            <w:r>
              <w:rPr>
                <w:rFonts w:ascii="Courier New" w:hAnsi="Courier New" w:cs="Courier New"/>
                <w:sz w:val="20"/>
                <w:szCs w:val="20"/>
              </w:rPr>
              <w:t xml:space="preserve">II. Активизация участия государственных и муниципальных служащих в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работе структурных подразделений по профилактике коррупционных и иных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а также комиссий по соблюдению требований к служебному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поведению и урегулированию конфликта интересов, аттестационных комиссий  </w:t>
            </w:r>
          </w:p>
        </w:tc>
      </w:tr>
      <w:tr w:rsidR="00FD7235" w:rsidTr="00F24F68">
        <w:trPr>
          <w:trHeight w:val="10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Привлечение к участию в работе комиссии по соблюдению требований к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служебному поведению и урегулированию конфликта интересов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(муниципальных) служащих представителей структурных</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подразделений органа государственной власти и местного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самоуправления.   </w:t>
            </w:r>
            <w:proofErr w:type="gramEnd"/>
            <w:r>
              <w:rPr>
                <w:rFonts w:ascii="Courier New" w:hAnsi="Courier New" w:cs="Courier New"/>
                <w:sz w:val="20"/>
                <w:szCs w:val="20"/>
              </w:rPr>
              <w:t xml:space="preserve">                                                 </w:t>
            </w:r>
          </w:p>
        </w:tc>
      </w:tr>
      <w:tr w:rsidR="00FD7235" w:rsidTr="00F24F68">
        <w:trPr>
          <w:trHeight w:val="12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регулярной ротации, в рамках которой представитель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структурного подразделения (за исключением подразделения по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государственной службы и кадров, юридического (правового)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входит в состав комиссии в течение одного года,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после чего его место занимает представитель другого структурного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подразделения.   </w:t>
            </w:r>
            <w:proofErr w:type="gramEnd"/>
            <w:r>
              <w:rPr>
                <w:rFonts w:ascii="Courier New" w:hAnsi="Courier New" w:cs="Courier New"/>
                <w:sz w:val="20"/>
                <w:szCs w:val="20"/>
              </w:rPr>
              <w:t xml:space="preserve">                                                  </w:t>
            </w:r>
          </w:p>
        </w:tc>
      </w:tr>
      <w:tr w:rsidR="00FD7235" w:rsidTr="00F24F68">
        <w:trPr>
          <w:trHeight w:val="8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государственных (муниципальных) служащих о дате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предстоящего заседания комиссии и планируемых к рассмотрению на нем</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вопросах, а также способах направления в комиссию информации по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данным </w:t>
            </w:r>
            <w:proofErr w:type="gramStart"/>
            <w:r>
              <w:rPr>
                <w:rFonts w:ascii="Courier New" w:hAnsi="Courier New" w:cs="Courier New"/>
                <w:sz w:val="20"/>
                <w:szCs w:val="20"/>
              </w:rPr>
              <w:t xml:space="preserve">вопросам.   </w:t>
            </w:r>
            <w:proofErr w:type="gramEnd"/>
            <w:r>
              <w:rPr>
                <w:rFonts w:ascii="Courier New" w:hAnsi="Courier New" w:cs="Courier New"/>
                <w:sz w:val="20"/>
                <w:szCs w:val="20"/>
              </w:rPr>
              <w:t xml:space="preserve">                                                </w:t>
            </w:r>
          </w:p>
        </w:tc>
      </w:tr>
      <w:tr w:rsidR="00FD7235" w:rsidTr="00F24F68">
        <w:trPr>
          <w:trHeight w:val="800"/>
          <w:tblCellSpacing w:w="5" w:type="nil"/>
        </w:trPr>
        <w:tc>
          <w:tcPr>
            <w:tcW w:w="8816" w:type="dxa"/>
            <w:gridSpan w:val="2"/>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outlineLvl w:val="1"/>
              <w:rPr>
                <w:rFonts w:ascii="Courier New" w:hAnsi="Courier New" w:cs="Courier New"/>
                <w:sz w:val="20"/>
                <w:szCs w:val="20"/>
              </w:rPr>
            </w:pPr>
            <w:bookmarkStart w:id="9" w:name="Par128"/>
            <w:bookmarkEnd w:id="9"/>
            <w:r>
              <w:rPr>
                <w:rFonts w:ascii="Courier New" w:hAnsi="Courier New" w:cs="Courier New"/>
                <w:sz w:val="20"/>
                <w:szCs w:val="20"/>
              </w:rPr>
              <w:t xml:space="preserve">III. Стимулирование государственных и муниципальных служащих к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предоставлению информации об известных им случаях коррупционных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нарушений требований к служебному поведению, ситуациях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конфликта интересов                                                      </w:t>
            </w:r>
          </w:p>
        </w:tc>
      </w:tr>
      <w:tr w:rsidR="00FD7235" w:rsidTr="00F24F68">
        <w:trPr>
          <w:trHeight w:val="18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уведомления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представителя нанимателя (работодателя) об обращении к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 (муниципальным) служащим в целях склонения к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совершению коррупционных правонарушений, механизмы защиты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в том числе предусмотренные </w:t>
            </w:r>
            <w:hyperlink r:id="rId12" w:history="1">
              <w:r>
                <w:rPr>
                  <w:rFonts w:ascii="Courier New" w:hAnsi="Courier New" w:cs="Courier New"/>
                  <w:color w:val="0000FF"/>
                  <w:sz w:val="20"/>
                  <w:szCs w:val="20"/>
                </w:rPr>
                <w:t>пунктами 6</w:t>
              </w:r>
            </w:hyperlink>
            <w:r>
              <w:rPr>
                <w:rFonts w:ascii="Courier New" w:hAnsi="Courier New" w:cs="Courier New"/>
                <w:sz w:val="20"/>
                <w:szCs w:val="20"/>
              </w:rPr>
              <w:t xml:space="preserve"> и </w:t>
            </w:r>
            <w:hyperlink r:id="rId13" w:history="1">
              <w:r>
                <w:rPr>
                  <w:rFonts w:ascii="Courier New" w:hAnsi="Courier New" w:cs="Courier New"/>
                  <w:color w:val="0000FF"/>
                  <w:sz w:val="20"/>
                  <w:szCs w:val="20"/>
                </w:rPr>
                <w:t>12</w:t>
              </w:r>
            </w:hyperlink>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Методических рекомендаций о порядке уведомления представителя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нанимателя о фактах обращения в целях склонения государственного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муниципального служащего к совершению коррупционных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правонарушений &lt;1</w:t>
            </w:r>
            <w:proofErr w:type="gramStart"/>
            <w:r>
              <w:rPr>
                <w:rFonts w:ascii="Courier New" w:hAnsi="Courier New" w:cs="Courier New"/>
                <w:sz w:val="20"/>
                <w:szCs w:val="20"/>
              </w:rPr>
              <w:t xml:space="preserve">&gt;;   </w:t>
            </w:r>
            <w:proofErr w:type="gramEnd"/>
            <w:r>
              <w:rPr>
                <w:rFonts w:ascii="Courier New" w:hAnsi="Courier New" w:cs="Courier New"/>
                <w:sz w:val="20"/>
                <w:szCs w:val="20"/>
              </w:rPr>
              <w:t xml:space="preserve">                                             </w:t>
            </w:r>
          </w:p>
        </w:tc>
      </w:tr>
      <w:tr w:rsidR="00FD7235" w:rsidTr="00F24F68">
        <w:trPr>
          <w:trHeight w:val="10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Разъяснение порядка уведомления представителя нанимателя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государственным (муниципальным)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служащим в целях склонения к совершению коррупционных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уделяя особое внимание предусмотренным механизмам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w:t>
            </w:r>
            <w:proofErr w:type="gramStart"/>
            <w:r>
              <w:rPr>
                <w:rFonts w:ascii="Courier New" w:hAnsi="Courier New" w:cs="Courier New"/>
                <w:sz w:val="20"/>
                <w:szCs w:val="20"/>
              </w:rPr>
              <w:t xml:space="preserve">заявителей.   </w:t>
            </w:r>
            <w:proofErr w:type="gramEnd"/>
            <w:r>
              <w:rPr>
                <w:rFonts w:ascii="Courier New" w:hAnsi="Courier New" w:cs="Courier New"/>
                <w:sz w:val="20"/>
                <w:szCs w:val="20"/>
              </w:rPr>
              <w:t xml:space="preserve">                                              </w:t>
            </w:r>
          </w:p>
        </w:tc>
      </w:tr>
      <w:tr w:rsidR="00FD7235" w:rsidTr="00F24F68">
        <w:trPr>
          <w:trHeight w:val="14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Доведение до сведения государственных (муниципальных) служащих, что</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они не только должны уведомлять представителя нанимателя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(работодателя) об обращении к ним в целях склонения к совершению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но также могут предоставлять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информацию обо всех ставших им известными фактах совершения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коррупционных правонарушений вне зависимости от того, обращался ли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ним кто-то </w:t>
            </w:r>
            <w:proofErr w:type="gramStart"/>
            <w:r>
              <w:rPr>
                <w:rFonts w:ascii="Courier New" w:hAnsi="Courier New" w:cs="Courier New"/>
                <w:sz w:val="20"/>
                <w:szCs w:val="20"/>
              </w:rPr>
              <w:t xml:space="preserve">лично.   </w:t>
            </w:r>
            <w:proofErr w:type="gramEnd"/>
            <w:r>
              <w:rPr>
                <w:rFonts w:ascii="Courier New" w:hAnsi="Courier New" w:cs="Courier New"/>
                <w:sz w:val="20"/>
                <w:szCs w:val="20"/>
              </w:rPr>
              <w:t xml:space="preserve">                                             </w:t>
            </w:r>
          </w:p>
        </w:tc>
      </w:tr>
      <w:tr w:rsidR="00FD7235" w:rsidTr="00F24F68">
        <w:trPr>
          <w:trHeight w:val="12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в локальном акте, устанавливающем порядок и виды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поощрения и награждения органа государственной власти и местного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специального вида поощрения лицу, способствующему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раскрытию правонарушения коррупционной направленности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(благодарственное письмо, внесение в книгу почета с выдачей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соответствующего свидетельства и др.</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w:t>
            </w:r>
          </w:p>
        </w:tc>
      </w:tr>
      <w:tr w:rsidR="00FD7235" w:rsidTr="00F24F68">
        <w:trPr>
          <w:trHeight w:val="600"/>
          <w:tblCellSpacing w:w="5" w:type="nil"/>
        </w:trPr>
        <w:tc>
          <w:tcPr>
            <w:tcW w:w="8816" w:type="dxa"/>
            <w:gridSpan w:val="2"/>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outlineLvl w:val="1"/>
              <w:rPr>
                <w:rFonts w:ascii="Courier New" w:hAnsi="Courier New" w:cs="Courier New"/>
                <w:sz w:val="20"/>
                <w:szCs w:val="20"/>
              </w:rPr>
            </w:pPr>
            <w:bookmarkStart w:id="10" w:name="Par164"/>
            <w:bookmarkEnd w:id="10"/>
            <w:r>
              <w:rPr>
                <w:rFonts w:ascii="Courier New" w:hAnsi="Courier New" w:cs="Courier New"/>
                <w:sz w:val="20"/>
                <w:szCs w:val="20"/>
              </w:rPr>
              <w:t xml:space="preserve">IV. Просвещение государственных и муниципальных служащих по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антикоррупционной тематике и методическое обеспечение профессиональной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служебной деятельности государственных и муниципальных служащих          </w:t>
            </w:r>
          </w:p>
        </w:tc>
      </w:tr>
      <w:tr w:rsidR="00FD7235" w:rsidTr="00F24F68">
        <w:trPr>
          <w:trHeight w:val="10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памяток по ключевым вопросам противодействия коррупции,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затрагивающим всех или большинство государственных (муниципальных)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и предполагающих взаимодействие государственного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служащего с органом государственной власти 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w:t>
            </w:r>
            <w:proofErr w:type="gramStart"/>
            <w:r>
              <w:rPr>
                <w:rFonts w:ascii="Courier New" w:hAnsi="Courier New" w:cs="Courier New"/>
                <w:sz w:val="20"/>
                <w:szCs w:val="20"/>
              </w:rPr>
              <w:t xml:space="preserve">самоуправления.   </w:t>
            </w:r>
            <w:proofErr w:type="gramEnd"/>
            <w:r>
              <w:rPr>
                <w:rFonts w:ascii="Courier New" w:hAnsi="Courier New" w:cs="Courier New"/>
                <w:sz w:val="20"/>
                <w:szCs w:val="20"/>
              </w:rPr>
              <w:t xml:space="preserve">                                        </w:t>
            </w:r>
          </w:p>
        </w:tc>
      </w:tr>
      <w:tr w:rsidR="00FD7235" w:rsidTr="00F24F68">
        <w:trPr>
          <w:trHeight w:val="6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в рамках проведения конкурсных процедур анкетирования,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тестирования или иных методов оценки знания положений основ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антикоррупционного </w:t>
            </w:r>
            <w:proofErr w:type="gramStart"/>
            <w:r>
              <w:rPr>
                <w:rFonts w:ascii="Courier New" w:hAnsi="Courier New" w:cs="Courier New"/>
                <w:sz w:val="20"/>
                <w:szCs w:val="20"/>
              </w:rPr>
              <w:t xml:space="preserve">законодательства.   </w:t>
            </w:r>
            <w:proofErr w:type="gramEnd"/>
            <w:r>
              <w:rPr>
                <w:rFonts w:ascii="Courier New" w:hAnsi="Courier New" w:cs="Courier New"/>
                <w:sz w:val="20"/>
                <w:szCs w:val="20"/>
              </w:rPr>
              <w:t xml:space="preserve">                            </w:t>
            </w:r>
          </w:p>
        </w:tc>
      </w:tr>
      <w:tr w:rsidR="00FD7235" w:rsidTr="00F24F68">
        <w:trPr>
          <w:trHeight w:val="22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организации различных видов учебных семинаров по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противодействия коррупции: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вводного семинара для граждан, впервые поступивших на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государственную (муниципальную) службу;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регулярных семинаров по ключевым вопросам противодействия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коррупции, затрагивающим всех или большинство государственных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служащих и предполагающих взаимодействие с органом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власти и местного самоуправления;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специальных семинаров в случае существенных изменений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в сфере противодействия коррупции, затрагивающих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(муниципальных) </w:t>
            </w:r>
            <w:proofErr w:type="gramStart"/>
            <w:r>
              <w:rPr>
                <w:rFonts w:ascii="Courier New" w:hAnsi="Courier New" w:cs="Courier New"/>
                <w:sz w:val="20"/>
                <w:szCs w:val="20"/>
              </w:rPr>
              <w:t xml:space="preserve">служащих.   </w:t>
            </w:r>
            <w:proofErr w:type="gramEnd"/>
            <w:r>
              <w:rPr>
                <w:rFonts w:ascii="Courier New" w:hAnsi="Courier New" w:cs="Courier New"/>
                <w:sz w:val="20"/>
                <w:szCs w:val="20"/>
              </w:rPr>
              <w:t xml:space="preserve">                       </w:t>
            </w:r>
          </w:p>
        </w:tc>
      </w:tr>
      <w:tr w:rsidR="00FD7235" w:rsidTr="00F24F68">
        <w:trPr>
          <w:trHeight w:val="1400"/>
          <w:tblCellSpacing w:w="5" w:type="nil"/>
        </w:trPr>
        <w:tc>
          <w:tcPr>
            <w:tcW w:w="812"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8004" w:type="dxa"/>
            <w:tcBorders>
              <w:left w:val="single" w:sz="8" w:space="0" w:color="auto"/>
              <w:bottom w:val="single" w:sz="8" w:space="0" w:color="auto"/>
              <w:right w:val="single" w:sz="8" w:space="0" w:color="auto"/>
            </w:tcBorders>
          </w:tcPr>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регулярной работы по разъяснению исполнения требований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антикоррупционного законодательства государственным (муниципальным)</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служащими, увольняющимися с государственной (муниципальной) службы,</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чьи должности входили в перечень, установленный </w:t>
            </w:r>
            <w:hyperlink r:id="rId14"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от 21 июля 2010 г. N 925 "О мерах по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отдельных положений Федерального закона "О              </w:t>
            </w:r>
          </w:p>
          <w:p w:rsidR="00FD7235" w:rsidRDefault="00FD7235" w:rsidP="00F24F6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противодействии коррупции</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w:t>
            </w:r>
          </w:p>
        </w:tc>
      </w:tr>
    </w:tbl>
    <w:p w:rsidR="00FD7235" w:rsidRDefault="00FD7235" w:rsidP="00FD7235">
      <w:pPr>
        <w:widowControl w:val="0"/>
        <w:autoSpaceDE w:val="0"/>
        <w:autoSpaceDN w:val="0"/>
        <w:adjustRightInd w:val="0"/>
        <w:spacing w:after="0" w:line="240" w:lineRule="auto"/>
        <w:jc w:val="both"/>
        <w:rPr>
          <w:rFonts w:ascii="Calibri" w:hAnsi="Calibri" w:cs="Calibri"/>
        </w:rPr>
      </w:pP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D7235" w:rsidRDefault="00FD7235" w:rsidP="00FD72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Методические </w:t>
      </w:r>
      <w:hyperlink r:id="rId15" w:history="1">
        <w:r>
          <w:rPr>
            <w:rFonts w:ascii="Calibri" w:hAnsi="Calibri" w:cs="Calibri"/>
            <w:color w:val="0000FF"/>
          </w:rPr>
          <w:t>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rPr>
          <w:rFonts w:ascii="Calibri" w:hAnsi="Calibri" w:cs="Calibri"/>
        </w:rPr>
        <w:t>Минздравсоцразвития</w:t>
      </w:r>
      <w:proofErr w:type="spellEnd"/>
      <w:r>
        <w:rPr>
          <w:rFonts w:ascii="Calibri" w:hAnsi="Calibri" w:cs="Calibri"/>
        </w:rPr>
        <w:t xml:space="preserve"> России и </w:t>
      </w:r>
      <w:hyperlink r:id="rId16" w:history="1">
        <w:r>
          <w:rPr>
            <w:rFonts w:ascii="Calibri" w:hAnsi="Calibri" w:cs="Calibri"/>
            <w:color w:val="0000FF"/>
          </w:rPr>
          <w:t>письмом</w:t>
        </w:r>
      </w:hyperlink>
      <w:r>
        <w:rPr>
          <w:rFonts w:ascii="Calibri" w:hAnsi="Calibri" w:cs="Calibri"/>
        </w:rPr>
        <w:t xml:space="preserve"> от 20 сентября 2010 г. N 7666-17 направлены в федеральные государственные органы для использования в работе.</w:t>
      </w:r>
    </w:p>
    <w:p w:rsidR="00DF7B92" w:rsidRDefault="00FD7235">
      <w:bookmarkStart w:id="11" w:name="_GoBack"/>
      <w:bookmarkEnd w:id="11"/>
    </w:p>
    <w:sectPr w:rsidR="00DF7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35"/>
    <w:rsid w:val="005B2CE7"/>
    <w:rsid w:val="00657A89"/>
    <w:rsid w:val="00FD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9E6A-C738-43AD-A19D-B33FB3ED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2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6730D2C91D125A8955F59573D3A5FB8F3B29EA454AD2F7A25E7B62FB309776015D06E7C1C7A76u3i9J" TargetMode="External"/><Relationship Id="rId13" Type="http://schemas.openxmlformats.org/officeDocument/2006/relationships/hyperlink" Target="consultantplus://offline/ref=08F6730D2C91D125A8955F59573D3A5FB8F6B19DA155AD2F7A25E7B62FB309776015D06E7C1C7A74u3iC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F6730D2C91D125A8955F59573D3A5FB8F2B49AA355AD2F7A25E7B62FB309776015D06E7C1C7A79u3i8J" TargetMode="External"/><Relationship Id="rId12" Type="http://schemas.openxmlformats.org/officeDocument/2006/relationships/hyperlink" Target="consultantplus://offline/ref=08F6730D2C91D125A8955F59573D3A5FB8F6B19DA155AD2F7A25E7B62FB309776015D06E7C1C7A73u3i9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F6730D2C91D125A8955F59573D3A5FB8F6B19DA155AD2F7A25E7B62FB309776015D06E7C1C7A70u3i5J" TargetMode="External"/><Relationship Id="rId1" Type="http://schemas.openxmlformats.org/officeDocument/2006/relationships/customXml" Target="../customXml/item1.xml"/><Relationship Id="rId6" Type="http://schemas.openxmlformats.org/officeDocument/2006/relationships/hyperlink" Target="consultantplus://offline/ref=08F6730D2C91D125A8955F59573D3A5FB8F4B09DA654AD2F7A25E7B62FB309776015D06E7C1C7A72u3i8J" TargetMode="External"/><Relationship Id="rId11" Type="http://schemas.openxmlformats.org/officeDocument/2006/relationships/hyperlink" Target="consultantplus://offline/ref=08F6730D2C91D125A8955F59573D3A5FB8F6B59BAC56AD2F7A25E7B62FuBi3J" TargetMode="External"/><Relationship Id="rId5" Type="http://schemas.openxmlformats.org/officeDocument/2006/relationships/hyperlink" Target="consultantplus://offline/ref=08F6730D2C91D125A8955F59573D3A5FB8F2B49AA355AD2F7A25E7B62FB309776015D06E7C1C7A79u3i8J" TargetMode="External"/><Relationship Id="rId15" Type="http://schemas.openxmlformats.org/officeDocument/2006/relationships/hyperlink" Target="consultantplus://offline/ref=08F6730D2C91D125A8955F59573D3A5FB8F6B19DA155AD2F7A25E7B62FB309776015D06E7C1C7A71u3i8J" TargetMode="External"/><Relationship Id="rId10" Type="http://schemas.openxmlformats.org/officeDocument/2006/relationships/hyperlink" Target="consultantplus://offline/ref=08F6730D2C91D125A8955F59573D3A5FB8F6B19DA155AD2F7A25E7B62FB309776015D06E7C1C7A74u3iCJ" TargetMode="External"/><Relationship Id="rId4" Type="http://schemas.openxmlformats.org/officeDocument/2006/relationships/webSettings" Target="webSettings.xml"/><Relationship Id="rId9" Type="http://schemas.openxmlformats.org/officeDocument/2006/relationships/hyperlink" Target="consultantplus://offline/ref=08F6730D2C91D125A8955F59573D3A5FB8F6B19DA155AD2F7A25E7B62FB309776015D06E7C1C7A73u3i9J" TargetMode="External"/><Relationship Id="rId14" Type="http://schemas.openxmlformats.org/officeDocument/2006/relationships/hyperlink" Target="consultantplus://offline/ref=08F6730D2C91D125A8955F59573D3A5FB8F6B59BAC56AD2F7A25E7B62FuB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F94A-79AB-41AD-8EBE-50593B8A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2015-02-10T08:51:00Z</dcterms:created>
  <dcterms:modified xsi:type="dcterms:W3CDTF">2015-02-10T08:53:00Z</dcterms:modified>
</cp:coreProperties>
</file>